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0E071F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865A19">
        <w:rPr>
          <w:bCs/>
          <w:noProof w:val="0"/>
          <w:sz w:val="24"/>
          <w:szCs w:val="24"/>
        </w:rPr>
        <w:t>15</w:t>
      </w:r>
      <w:r w:rsidR="00614FD1">
        <w:rPr>
          <w:bCs/>
          <w:noProof w:val="0"/>
          <w:sz w:val="24"/>
          <w:szCs w:val="24"/>
        </w:rPr>
        <w:t>620</w:t>
      </w:r>
      <w:bookmarkEnd w:id="0"/>
    </w:p>
    <w:p w14:paraId="11776FA6" w14:textId="0A146BC1" w:rsidR="00A209D6" w:rsidRPr="00465587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88BFBB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D1AA4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FD1AA4">
        <w:rPr>
          <w:rFonts w:cs="Arial"/>
          <w:b/>
          <w:bCs/>
          <w:sz w:val="24"/>
          <w:lang w:eastAsia="ja-JP"/>
        </w:rPr>
        <w:t>12</w:t>
      </w:r>
      <w:r>
        <w:rPr>
          <w:rFonts w:cs="Arial"/>
          <w:b/>
          <w:bCs/>
          <w:sz w:val="24"/>
          <w:lang w:eastAsia="ja-JP"/>
        </w:rPr>
        <w:t>.</w:t>
      </w:r>
      <w:r w:rsidR="00FD1AA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ADE188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15B53">
        <w:rPr>
          <w:rFonts w:ascii="Arial" w:hAnsi="Arial" w:cs="Arial"/>
          <w:b/>
          <w:bCs/>
          <w:sz w:val="24"/>
        </w:rPr>
        <w:t>Scheduled IP Throughput</w:t>
      </w:r>
      <w:r w:rsidR="00FD1AA4">
        <w:rPr>
          <w:rFonts w:ascii="Arial" w:hAnsi="Arial" w:cs="Arial"/>
          <w:b/>
          <w:bCs/>
          <w:sz w:val="24"/>
        </w:rPr>
        <w:t xml:space="preserve"> </w:t>
      </w:r>
      <w:r w:rsidR="000704E3">
        <w:rPr>
          <w:rFonts w:ascii="Arial" w:hAnsi="Arial" w:cs="Arial"/>
          <w:b/>
          <w:bCs/>
          <w:sz w:val="24"/>
        </w:rPr>
        <w:t xml:space="preserve">configuration </w:t>
      </w:r>
      <w:r w:rsidR="00FD1AA4">
        <w:rPr>
          <w:rFonts w:ascii="Arial" w:hAnsi="Arial" w:cs="Arial"/>
          <w:b/>
          <w:bCs/>
          <w:sz w:val="24"/>
        </w:rPr>
        <w:t xml:space="preserve">for </w:t>
      </w:r>
      <w:r w:rsidR="00D113D6">
        <w:rPr>
          <w:rFonts w:ascii="Arial" w:hAnsi="Arial" w:cs="Arial"/>
          <w:b/>
          <w:bCs/>
          <w:sz w:val="24"/>
        </w:rPr>
        <w:t xml:space="preserve">NR </w:t>
      </w:r>
      <w:r w:rsidR="00FD1AA4">
        <w:rPr>
          <w:rFonts w:ascii="Arial" w:hAnsi="Arial" w:cs="Arial"/>
          <w:b/>
          <w:bCs/>
          <w:sz w:val="24"/>
        </w:rPr>
        <w:t>MDT</w:t>
      </w:r>
    </w:p>
    <w:p w14:paraId="788DB11D" w14:textId="77777777" w:rsidR="00FD1AA4" w:rsidRDefault="00A209D6" w:rsidP="00FD1AA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D1AA4" w:rsidRPr="003C1BC0">
        <w:rPr>
          <w:rFonts w:ascii="Arial" w:hAnsi="Arial" w:cs="Arial"/>
          <w:b/>
          <w:bCs/>
          <w:sz w:val="24"/>
        </w:rPr>
        <w:t>NR_SON_MDT-Core - Release 16</w:t>
      </w:r>
    </w:p>
    <w:p w14:paraId="6FEB19D6" w14:textId="4D7ABC11" w:rsidR="00A209D6" w:rsidRPr="00B266B0" w:rsidRDefault="00A209D6" w:rsidP="00FD1AA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70030D5" w14:textId="3EE8F079" w:rsidR="00D15B53" w:rsidRDefault="00D15B53" w:rsidP="00D15B53">
      <w:pPr>
        <w:jc w:val="both"/>
      </w:pPr>
      <w:r>
        <w:t>S</w:t>
      </w:r>
      <w:r w:rsidR="00411E64">
        <w:t>ome of the s</w:t>
      </w:r>
      <w:r>
        <w:t xml:space="preserve">tandardized </w:t>
      </w:r>
      <w:proofErr w:type="spellStart"/>
      <w:r>
        <w:t>eNB</w:t>
      </w:r>
      <w:proofErr w:type="spellEnd"/>
      <w:r>
        <w:t xml:space="preserve"> measurements in TS36.314 were </w:t>
      </w:r>
      <w:r w:rsidR="00411E64">
        <w:t>specifically</w:t>
      </w:r>
      <w:r>
        <w:t xml:space="preserve"> tailored </w:t>
      </w:r>
      <w:r w:rsidR="00411E64">
        <w:t>in LTE t</w:t>
      </w:r>
      <w:r>
        <w:t xml:space="preserve">o reflect </w:t>
      </w:r>
      <w:r w:rsidR="00411E64">
        <w:t>good traceability of the users selected for Immediate MDT</w:t>
      </w:r>
      <w:r>
        <w:t>.</w:t>
      </w:r>
      <w:r w:rsidR="000704E3">
        <w:t xml:space="preserve"> The </w:t>
      </w:r>
      <w:proofErr w:type="gramStart"/>
      <w:r w:rsidR="000704E3">
        <w:t>final results</w:t>
      </w:r>
      <w:proofErr w:type="gramEnd"/>
      <w:r w:rsidR="000704E3">
        <w:t xml:space="preserve"> of MDT session, from the users that are configured for Immediate MDT in LTE, can be tagged and delivered together with </w:t>
      </w:r>
      <w:proofErr w:type="spellStart"/>
      <w:r w:rsidR="000704E3">
        <w:t>eNB</w:t>
      </w:r>
      <w:proofErr w:type="spellEnd"/>
      <w:r w:rsidR="000704E3">
        <w:t xml:space="preserve"> measurements for the users. Network input on the associated users’ performance offers complete picture of the performance. </w:t>
      </w:r>
      <w:r>
        <w:t xml:space="preserve"> </w:t>
      </w:r>
      <w:r w:rsidR="00411E64">
        <w:t xml:space="preserve">NR MDT configurations should also serve the purpose to provide good association of the gNB measurements with Immediate MDT results of the UEs in </w:t>
      </w:r>
      <w:proofErr w:type="spellStart"/>
      <w:r w:rsidR="00411E64">
        <w:t>RRC_Connected</w:t>
      </w:r>
      <w:proofErr w:type="spellEnd"/>
      <w:r w:rsidR="00411E64">
        <w:t>.</w:t>
      </w:r>
    </w:p>
    <w:p w14:paraId="3D1CE8C2" w14:textId="1D5518D8" w:rsidR="00D15B53" w:rsidRDefault="00D15B53" w:rsidP="00D15B53">
      <w:pPr>
        <w:jc w:val="both"/>
      </w:pPr>
      <w:r>
        <w:t xml:space="preserve">In this contribution we discuss the way of configuring IP scheduled throughput for UEs involved in </w:t>
      </w:r>
      <w:r w:rsidR="000704E3">
        <w:t xml:space="preserve">NR </w:t>
      </w:r>
      <w:r>
        <w:t>MDT.</w:t>
      </w:r>
    </w:p>
    <w:p w14:paraId="2BBFF540" w14:textId="1CACC311" w:rsidR="00A209D6" w:rsidRPr="00411E64" w:rsidRDefault="00A209D6" w:rsidP="00A209D6">
      <w:pPr>
        <w:pStyle w:val="Heading1"/>
      </w:pPr>
      <w:r w:rsidRPr="00411E64">
        <w:t>2</w:t>
      </w:r>
      <w:r w:rsidRPr="00411E64">
        <w:tab/>
      </w:r>
      <w:r w:rsidR="00411E64" w:rsidRPr="00411E64">
        <w:t>Discussion</w:t>
      </w:r>
    </w:p>
    <w:p w14:paraId="5D834B50" w14:textId="6A727C2B" w:rsidR="00C60309" w:rsidRPr="007D5542" w:rsidRDefault="008E0984" w:rsidP="00C60309">
      <w:pPr>
        <w:rPr>
          <w:lang w:val="en-US" w:eastAsia="ja-JP"/>
        </w:rPr>
      </w:pPr>
      <w:r>
        <w:t xml:space="preserve">In LTE, the Immediate MDT configuration towards UE can be linked with </w:t>
      </w:r>
      <w:proofErr w:type="spellStart"/>
      <w:r>
        <w:t>eNB</w:t>
      </w:r>
      <w:proofErr w:type="spellEnd"/>
      <w:r>
        <w:t xml:space="preserve"> configuration, triggering the </w:t>
      </w:r>
      <w:proofErr w:type="spellStart"/>
      <w:r>
        <w:t>eNB</w:t>
      </w:r>
      <w:proofErr w:type="spellEnd"/>
      <w:r>
        <w:t xml:space="preserve"> to perform associated measurements in order to assist UE’s feedback</w:t>
      </w:r>
      <w:r w:rsidR="00C60309">
        <w:t xml:space="preserve">. For example, for QoS verification and end-user satisfaction assessment, </w:t>
      </w:r>
      <w:r w:rsidR="00C60309" w:rsidRPr="007D5542">
        <w:rPr>
          <w:lang w:val="en-US" w:eastAsia="ja-JP"/>
        </w:rPr>
        <w:t>the network performance</w:t>
      </w:r>
      <w:r w:rsidR="00C60309">
        <w:rPr>
          <w:lang w:val="en-US" w:eastAsia="ja-JP"/>
        </w:rPr>
        <w:t xml:space="preserve"> analysis</w:t>
      </w:r>
      <w:r w:rsidR="00C60309" w:rsidRPr="007D5542">
        <w:rPr>
          <w:lang w:val="en-US" w:eastAsia="ja-JP"/>
        </w:rPr>
        <w:t xml:space="preserve"> </w:t>
      </w:r>
      <w:r w:rsidR="00C60309">
        <w:rPr>
          <w:lang w:val="en-US" w:eastAsia="ja-JP"/>
        </w:rPr>
        <w:t xml:space="preserve">should enable </w:t>
      </w:r>
      <w:r w:rsidR="00C60309" w:rsidRPr="007D5542">
        <w:rPr>
          <w:lang w:val="en-US" w:eastAsia="ja-JP"/>
        </w:rPr>
        <w:t xml:space="preserve">the verification of the quality of service </w:t>
      </w:r>
      <w:r w:rsidR="00C60309">
        <w:rPr>
          <w:lang w:val="en-US" w:eastAsia="ja-JP"/>
        </w:rPr>
        <w:t>by</w:t>
      </w:r>
      <w:r w:rsidR="00C60309" w:rsidRPr="007D5542">
        <w:rPr>
          <w:lang w:val="en-US" w:eastAsia="ja-JP"/>
        </w:rPr>
        <w:t xml:space="preserve"> </w:t>
      </w:r>
      <w:r w:rsidR="00C60309">
        <w:rPr>
          <w:lang w:val="en-US" w:eastAsia="ja-JP"/>
        </w:rPr>
        <w:t xml:space="preserve">insight into achievable </w:t>
      </w:r>
      <w:r w:rsidR="00C60309" w:rsidRPr="007D5542">
        <w:rPr>
          <w:lang w:val="en-US" w:eastAsia="ja-JP"/>
        </w:rPr>
        <w:t>user throughput</w:t>
      </w:r>
      <w:r w:rsidR="00C60309">
        <w:rPr>
          <w:lang w:val="en-US" w:eastAsia="ja-JP"/>
        </w:rPr>
        <w:t xml:space="preserve">. </w:t>
      </w:r>
    </w:p>
    <w:p w14:paraId="6D5FB37A" w14:textId="3B217D82" w:rsidR="00411E64" w:rsidRDefault="00411E64" w:rsidP="00411E64">
      <w:pPr>
        <w:pStyle w:val="00BodyText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TS36.314 allows two types of Scheduled IP Throughput measurement: </w:t>
      </w:r>
    </w:p>
    <w:p w14:paraId="0B753F31" w14:textId="77777777" w:rsidR="00411E64" w:rsidRDefault="00411E64" w:rsidP="00411E64">
      <w:pPr>
        <w:pStyle w:val="00BodyText"/>
        <w:numPr>
          <w:ilvl w:val="0"/>
          <w:numId w:val="8"/>
        </w:numPr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Scheduled IP Throughput (per QCI per UE), and </w:t>
      </w:r>
    </w:p>
    <w:p w14:paraId="2C05F59F" w14:textId="6FD0010F" w:rsidR="00411E64" w:rsidRDefault="00411E64" w:rsidP="00411E64">
      <w:pPr>
        <w:pStyle w:val="00BodyText"/>
        <w:numPr>
          <w:ilvl w:val="0"/>
          <w:numId w:val="8"/>
        </w:numPr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Scheduled IP Throughput for MDT purposes (per RAB per UE, </w:t>
      </w:r>
      <w:r w:rsidRPr="000704E3">
        <w:rPr>
          <w:rFonts w:ascii="Times New Roman" w:hAnsi="Times New Roman"/>
          <w:sz w:val="20"/>
          <w:highlight w:val="yellow"/>
          <w:lang w:val="en-GB"/>
        </w:rPr>
        <w:t>per UE</w:t>
      </w:r>
      <w:r>
        <w:rPr>
          <w:rFonts w:ascii="Times New Roman" w:hAnsi="Times New Roman"/>
          <w:sz w:val="20"/>
          <w:lang w:val="en-GB"/>
        </w:rPr>
        <w:t>)</w:t>
      </w:r>
      <w:r w:rsidR="000704E3">
        <w:rPr>
          <w:rFonts w:ascii="Times New Roman" w:hAnsi="Times New Roman"/>
          <w:sz w:val="20"/>
          <w:lang w:val="en-GB"/>
        </w:rPr>
        <w:t>.</w:t>
      </w:r>
    </w:p>
    <w:p w14:paraId="19C5A233" w14:textId="1DD0D449" w:rsidR="000704E3" w:rsidRDefault="008E0984" w:rsidP="000704E3">
      <w:pPr>
        <w:pStyle w:val="00BodyText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</w:t>
      </w:r>
      <w:r w:rsidR="000704E3">
        <w:rPr>
          <w:rFonts w:ascii="Times New Roman" w:hAnsi="Times New Roman"/>
          <w:sz w:val="20"/>
          <w:lang w:val="en-GB"/>
        </w:rPr>
        <w:t>t’s worth noting the latter one has been specifically introduced for MDT purposes, to allow consistent MDT configuration</w:t>
      </w:r>
      <w:r w:rsidR="00AB6038">
        <w:rPr>
          <w:rFonts w:ascii="Times New Roman" w:hAnsi="Times New Roman"/>
          <w:sz w:val="20"/>
          <w:lang w:val="en-GB"/>
        </w:rPr>
        <w:t xml:space="preserve"> granularity</w:t>
      </w:r>
      <w:r w:rsidR="000704E3">
        <w:rPr>
          <w:rFonts w:ascii="Times New Roman" w:hAnsi="Times New Roman"/>
          <w:sz w:val="20"/>
          <w:lang w:val="en-GB"/>
        </w:rPr>
        <w:t xml:space="preserve">, i.e. per </w:t>
      </w:r>
      <w:r w:rsidR="00AB6038">
        <w:rPr>
          <w:rFonts w:ascii="Times New Roman" w:hAnsi="Times New Roman"/>
          <w:sz w:val="20"/>
          <w:lang w:val="en-GB"/>
        </w:rPr>
        <w:t xml:space="preserve">RAB per </w:t>
      </w:r>
      <w:r w:rsidR="000704E3">
        <w:rPr>
          <w:rFonts w:ascii="Times New Roman" w:hAnsi="Times New Roman"/>
          <w:sz w:val="20"/>
          <w:lang w:val="en-GB"/>
        </w:rPr>
        <w:t>UE</w:t>
      </w:r>
      <w:r w:rsidR="00AB6038">
        <w:rPr>
          <w:rFonts w:ascii="Times New Roman" w:hAnsi="Times New Roman"/>
          <w:sz w:val="20"/>
          <w:lang w:val="en-GB"/>
        </w:rPr>
        <w:t>, and per UE</w:t>
      </w:r>
      <w:r w:rsidR="000704E3">
        <w:rPr>
          <w:rFonts w:ascii="Times New Roman" w:hAnsi="Times New Roman"/>
          <w:sz w:val="20"/>
          <w:lang w:val="en-GB"/>
        </w:rPr>
        <w:t xml:space="preserve">. </w:t>
      </w:r>
    </w:p>
    <w:p w14:paraId="530CAC26" w14:textId="27DCD91B" w:rsidR="00613FE1" w:rsidRDefault="00D03D35" w:rsidP="00613FE1">
      <w:pPr>
        <w:rPr>
          <w:rFonts w:eastAsia="SimSun"/>
          <w:lang w:eastAsia="ko-KR"/>
        </w:rPr>
      </w:pPr>
      <w:r>
        <w:t>The r</w:t>
      </w:r>
      <w:r w:rsidR="00613FE1" w:rsidRPr="00613FE1">
        <w:t>unning CR to TS37.320</w:t>
      </w:r>
      <w:r w:rsidR="00D6051C">
        <w:t xml:space="preserve"> in the email discussion</w:t>
      </w:r>
      <w:r w:rsidR="00613FE1" w:rsidRPr="00613FE1">
        <w:t xml:space="preserve"> </w:t>
      </w:r>
      <w:r w:rsidR="00D6051C">
        <w:t xml:space="preserve">[107bis#82] on NR MDT introduction, </w:t>
      </w:r>
      <w:r w:rsidR="00613FE1" w:rsidRPr="00613FE1">
        <w:t>list the</w:t>
      </w:r>
      <w:r w:rsidR="00613FE1">
        <w:t xml:space="preserve"> </w:t>
      </w:r>
      <w:r w:rsidR="000704E3">
        <w:t>Throughput</w:t>
      </w:r>
      <w:r w:rsidR="00613FE1">
        <w:rPr>
          <w:lang w:eastAsia="ko-KR"/>
        </w:rPr>
        <w:t xml:space="preserve"> measurement to be performed in the gNB</w:t>
      </w:r>
      <w:r w:rsidR="000704E3">
        <w:rPr>
          <w:lang w:eastAsia="ko-KR"/>
        </w:rPr>
        <w:t xml:space="preserve"> as follows</w:t>
      </w:r>
      <w:r w:rsidR="00613FE1">
        <w:rPr>
          <w:lang w:eastAsia="ko-KR"/>
        </w:rPr>
        <w:t>:</w:t>
      </w:r>
    </w:p>
    <w:p w14:paraId="2DA77F7A" w14:textId="77777777" w:rsidR="00D6051C" w:rsidRDefault="00613FE1" w:rsidP="00613FE1">
      <w:pPr>
        <w:rPr>
          <w:rFonts w:cs="Arial"/>
          <w:lang w:eastAsia="zh-CN"/>
        </w:rPr>
      </w:pPr>
      <w:r>
        <w:rPr>
          <w:rFonts w:ascii="Cambria Math" w:hAnsi="Cambria Math" w:cs="Cambria Math"/>
          <w:lang w:eastAsia="zh-CN"/>
        </w:rPr>
        <w:t>⁻</w:t>
      </w:r>
      <w:r>
        <w:rPr>
          <w:rFonts w:cs="Arial"/>
          <w:lang w:eastAsia="zh-CN"/>
        </w:rPr>
        <w:tab/>
        <w:t>M</w:t>
      </w:r>
      <w:proofErr w:type="gramStart"/>
      <w:r>
        <w:rPr>
          <w:rFonts w:cs="Arial"/>
          <w:lang w:eastAsia="zh-CN"/>
        </w:rPr>
        <w:t>5 :</w:t>
      </w:r>
      <w:proofErr w:type="gramEnd"/>
      <w:r>
        <w:rPr>
          <w:rFonts w:cs="Arial"/>
          <w:lang w:eastAsia="zh-CN"/>
        </w:rPr>
        <w:t xml:space="preserve"> Scheduled IP Throughput for MDT measurement separately for DL and UL</w:t>
      </w:r>
    </w:p>
    <w:p w14:paraId="3B6D4DFD" w14:textId="3DF9A7CF" w:rsidR="00613FE1" w:rsidRPr="00D6051C" w:rsidRDefault="00613FE1" w:rsidP="00613FE1">
      <w:pPr>
        <w:rPr>
          <w:rFonts w:cs="Arial"/>
          <w:lang w:eastAsia="zh-CN"/>
        </w:rPr>
      </w:pPr>
      <w:r>
        <w:t>Th</w:t>
      </w:r>
      <w:r w:rsidR="000704E3">
        <w:t>is</w:t>
      </w:r>
      <w:r>
        <w:t xml:space="preserve"> configuration trigger </w:t>
      </w:r>
      <w:r>
        <w:rPr>
          <w:lang w:eastAsia="ko-KR"/>
        </w:rPr>
        <w:t xml:space="preserve">shall be supported for Immediate MDT performance, thus </w:t>
      </w:r>
      <w:r w:rsidR="000704E3">
        <w:rPr>
          <w:lang w:eastAsia="ko-KR"/>
        </w:rPr>
        <w:t xml:space="preserve">to achieve the right observability, it should be scheduled throughput measurement for a </w:t>
      </w:r>
      <w:proofErr w:type="gramStart"/>
      <w:r w:rsidR="000704E3">
        <w:rPr>
          <w:lang w:eastAsia="ko-KR"/>
        </w:rPr>
        <w:t>particular UE</w:t>
      </w:r>
      <w:proofErr w:type="gramEnd"/>
      <w:r w:rsidR="000704E3">
        <w:rPr>
          <w:lang w:eastAsia="ko-KR"/>
        </w:rPr>
        <w:t>.</w:t>
      </w:r>
    </w:p>
    <w:p w14:paraId="5D696884" w14:textId="5EE51BD1" w:rsidR="00AB6038" w:rsidRPr="00D50709" w:rsidRDefault="00AB6038" w:rsidP="00AB6038">
      <w:pPr>
        <w:autoSpaceDE w:val="0"/>
        <w:autoSpaceDN w:val="0"/>
        <w:adjustRightInd w:val="0"/>
        <w:jc w:val="both"/>
        <w:rPr>
          <w:rFonts w:cs="Arial"/>
          <w:lang w:eastAsia="zh-CN"/>
        </w:rPr>
      </w:pPr>
      <w:r>
        <w:t>Given, the P</w:t>
      </w:r>
      <w:r w:rsidRPr="00D50709">
        <w:rPr>
          <w:rFonts w:cs="Arial"/>
          <w:lang w:eastAsia="zh-CN"/>
        </w:rPr>
        <w:t xml:space="preserve">erformance measurements for </w:t>
      </w:r>
      <w:r>
        <w:rPr>
          <w:rFonts w:cs="Arial"/>
          <w:lang w:eastAsia="zh-CN"/>
        </w:rPr>
        <w:t xml:space="preserve">NR defined by SA5 </w:t>
      </w:r>
      <w:r w:rsidRPr="00D50709">
        <w:rPr>
          <w:rFonts w:cs="Arial" w:hint="eastAsia"/>
          <w:lang w:eastAsia="zh-CN"/>
        </w:rPr>
        <w:t>in the TS 28.552</w:t>
      </w:r>
      <w:r>
        <w:rPr>
          <w:rFonts w:cs="Arial"/>
          <w:lang w:eastAsia="zh-CN"/>
        </w:rPr>
        <w:t xml:space="preserve">, we believe the TS37.320 should indicate the right references for the MDT configuration. We </w:t>
      </w:r>
      <w:proofErr w:type="gramStart"/>
      <w:r>
        <w:rPr>
          <w:rFonts w:cs="Arial"/>
          <w:lang w:eastAsia="zh-CN"/>
        </w:rPr>
        <w:t>make the assumption</w:t>
      </w:r>
      <w:proofErr w:type="gramEnd"/>
      <w:r>
        <w:rPr>
          <w:rFonts w:cs="Arial"/>
          <w:lang w:eastAsia="zh-CN"/>
        </w:rPr>
        <w:t xml:space="preserve"> that 5G performance measurements defined as “UE throughput” in section 5.1.1.3 can be performed per UE basis (</w:t>
      </w:r>
      <w:r w:rsidR="00D6051C">
        <w:rPr>
          <w:rFonts w:cs="Arial"/>
          <w:lang w:eastAsia="zh-CN"/>
        </w:rPr>
        <w:t>Table</w:t>
      </w:r>
      <w:r>
        <w:rPr>
          <w:rFonts w:cs="Arial"/>
          <w:lang w:eastAsia="zh-CN"/>
        </w:rPr>
        <w:t xml:space="preserve"> 1).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0709" w14:paraId="07B9B725" w14:textId="77777777" w:rsidTr="00D50709">
        <w:tc>
          <w:tcPr>
            <w:tcW w:w="9631" w:type="dxa"/>
          </w:tcPr>
          <w:p w14:paraId="32F7345A" w14:textId="77777777" w:rsidR="00897589" w:rsidRPr="00AC22D1" w:rsidRDefault="00897589" w:rsidP="00897589">
            <w:pPr>
              <w:pStyle w:val="Heading4"/>
            </w:pPr>
            <w:bookmarkStart w:id="1" w:name="_Toc20132221"/>
            <w:r w:rsidRPr="00AC22D1">
              <w:lastRenderedPageBreak/>
              <w:t>5.1.</w:t>
            </w:r>
            <w:r>
              <w:rPr>
                <w:lang w:eastAsia="zh-CN"/>
              </w:rPr>
              <w:t>1</w:t>
            </w:r>
            <w:r w:rsidRPr="00AC22D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AC22D1">
              <w:tab/>
              <w:t>UE throughput</w:t>
            </w:r>
            <w:bookmarkEnd w:id="1"/>
          </w:p>
          <w:p w14:paraId="50A01C43" w14:textId="77777777" w:rsidR="00897589" w:rsidRPr="002C5A2D" w:rsidRDefault="00897589" w:rsidP="00897589">
            <w:pPr>
              <w:pStyle w:val="Heading5"/>
            </w:pPr>
            <w:bookmarkStart w:id="2" w:name="_Toc20132222"/>
            <w:r w:rsidRPr="00A94DC9">
              <w:t>5.</w:t>
            </w:r>
            <w:r w:rsidRPr="00517EC3">
              <w:t>1.</w:t>
            </w:r>
            <w:r>
              <w:t>1</w:t>
            </w:r>
            <w:r w:rsidRPr="00517EC3">
              <w:t>.</w:t>
            </w:r>
            <w:r>
              <w:t>3</w:t>
            </w:r>
            <w:r w:rsidRPr="009A3F5F">
              <w:t>.1</w:t>
            </w:r>
            <w:r w:rsidRPr="009A3F5F">
              <w:tab/>
            </w:r>
            <w:r w:rsidRPr="002C5A2D">
              <w:rPr>
                <w:lang w:eastAsia="zh-CN"/>
              </w:rPr>
              <w:t>Average</w:t>
            </w:r>
            <w:r w:rsidRPr="002C5A2D">
              <w:t xml:space="preserve"> DL UE throughput in gNB</w:t>
            </w:r>
            <w:bookmarkEnd w:id="2"/>
          </w:p>
          <w:p w14:paraId="29691FB1" w14:textId="77777777" w:rsidR="00897589" w:rsidRPr="00E15DFC" w:rsidRDefault="00897589" w:rsidP="00897589">
            <w:pPr>
              <w:pStyle w:val="B1"/>
            </w:pPr>
            <w:r>
              <w:t>a)</w:t>
            </w:r>
            <w:r>
              <w:tab/>
            </w:r>
            <w:r w:rsidRPr="00692D7C">
              <w:t xml:space="preserve">This measurement provides the average </w:t>
            </w:r>
            <w:r w:rsidRPr="008778F2">
              <w:rPr>
                <w:lang w:eastAsia="zh-CN"/>
              </w:rPr>
              <w:t>UE</w:t>
            </w:r>
            <w:r w:rsidRPr="008778F2">
              <w:rPr>
                <w:rFonts w:hint="eastAsia"/>
                <w:lang w:eastAsia="zh-CN"/>
              </w:rPr>
              <w:t xml:space="preserve"> throughput in </w:t>
            </w:r>
            <w:r w:rsidRPr="00E15DFC">
              <w:rPr>
                <w:lang w:eastAsia="zh-CN"/>
              </w:rPr>
              <w:t>down</w:t>
            </w:r>
            <w:r w:rsidRPr="00E15DFC">
              <w:rPr>
                <w:rFonts w:hint="eastAsia"/>
                <w:lang w:eastAsia="zh-CN"/>
              </w:rPr>
              <w:t>link</w:t>
            </w:r>
            <w:r w:rsidRPr="00E15DFC">
              <w:rPr>
                <w:lang w:eastAsia="zh-CN"/>
              </w:rPr>
              <w:t xml:space="preserve">. </w:t>
            </w:r>
            <w:r w:rsidRPr="00E15DFC">
              <w:t xml:space="preserve">This measurement is intended for data bursts that are large enough to require transmissions to be split across multiple </w:t>
            </w:r>
            <w:r>
              <w:t>slot</w:t>
            </w:r>
            <w:r w:rsidRPr="00E15DFC">
              <w:t xml:space="preserve">s. The UE data volume refers to the total volume scheduled for each UE regardless if using </w:t>
            </w:r>
            <w:r>
              <w:t xml:space="preserve">only </w:t>
            </w:r>
            <w:r w:rsidRPr="00E15DFC">
              <w:t xml:space="preserve">primary- or </w:t>
            </w:r>
            <w:r>
              <w:t xml:space="preserve">also </w:t>
            </w:r>
            <w:r w:rsidRPr="00E15DFC">
              <w:t xml:space="preserve">supplemental aggregated carriers. The measurement is optionally split into </w:t>
            </w:r>
            <w:proofErr w:type="spellStart"/>
            <w:r w:rsidRPr="00E15DFC">
              <w:t>subcounters</w:t>
            </w:r>
            <w:proofErr w:type="spellEnd"/>
            <w:r w:rsidRPr="00E15DFC">
              <w:t xml:space="preserve"> per QoS level (</w:t>
            </w:r>
            <w:r>
              <w:t xml:space="preserve">mapped </w:t>
            </w:r>
            <w:r w:rsidRPr="00E15DFC">
              <w:t>5QI or QCI in NR option 3).</w:t>
            </w:r>
          </w:p>
          <w:p w14:paraId="40F18B9D" w14:textId="77777777" w:rsidR="00897589" w:rsidRPr="00E15DFC" w:rsidRDefault="00897589" w:rsidP="00897589">
            <w:pPr>
              <w:pStyle w:val="B1"/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</w:r>
            <w:r w:rsidRPr="00E15DFC">
              <w:rPr>
                <w:rFonts w:hint="eastAsia"/>
                <w:lang w:eastAsia="zh-CN"/>
              </w:rPr>
              <w:t>DER(N=1)</w:t>
            </w:r>
          </w:p>
          <w:p w14:paraId="0D85D65D" w14:textId="77777777" w:rsidR="00897589" w:rsidRPr="00AC22D1" w:rsidRDefault="00897589" w:rsidP="00897589">
            <w:pPr>
              <w:pStyle w:val="B1"/>
              <w:rPr>
                <w:lang w:eastAsia="zh-CN"/>
              </w:rPr>
            </w:pPr>
            <w:r>
              <w:t>c)</w:t>
            </w:r>
            <w:r>
              <w:tab/>
            </w:r>
            <w:r w:rsidRPr="00E15DFC">
              <w:t xml:space="preserve">This measurement is obtained according to </w:t>
            </w:r>
            <w:r w:rsidRPr="00E15DFC">
              <w:rPr>
                <w:rFonts w:hint="eastAsia"/>
              </w:rPr>
              <w:t>the following formula</w:t>
            </w:r>
            <w:r w:rsidRPr="00E15DFC">
              <w:rPr>
                <w:rFonts w:hint="eastAsia"/>
                <w:lang w:eastAsia="zh-CN"/>
              </w:rPr>
              <w:t xml:space="preserve"> based on the </w:t>
            </w:r>
            <w:r>
              <w:rPr>
                <w:lang w:eastAsia="zh-CN"/>
              </w:rPr>
              <w:t>"</w:t>
            </w:r>
            <w:proofErr w:type="spellStart"/>
            <w:r w:rsidRPr="00E15DFC">
              <w:rPr>
                <w:rFonts w:hint="eastAsia"/>
                <w:lang w:eastAsia="zh-CN"/>
              </w:rPr>
              <w:t>ThpVol</w:t>
            </w:r>
            <w:r w:rsidRPr="00E15DFC">
              <w:rPr>
                <w:lang w:eastAsia="zh-CN"/>
              </w:rPr>
              <w:t>D</w:t>
            </w:r>
            <w:r w:rsidRPr="00E15DFC">
              <w:rPr>
                <w:rFonts w:hint="eastAsia"/>
                <w:lang w:eastAsia="zh-CN"/>
              </w:rPr>
              <w:t>l</w:t>
            </w:r>
            <w:proofErr w:type="spellEnd"/>
            <w:r>
              <w:rPr>
                <w:lang w:eastAsia="zh-CN"/>
              </w:rPr>
              <w:t>"</w:t>
            </w:r>
            <w:r w:rsidRPr="00E15DFC"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"</w:t>
            </w:r>
            <w:proofErr w:type="spellStart"/>
            <w:r w:rsidRPr="006F0B9F">
              <w:rPr>
                <w:rFonts w:hint="eastAsia"/>
                <w:lang w:eastAsia="zh-CN"/>
              </w:rPr>
              <w:t>ThpTime</w:t>
            </w:r>
            <w:r w:rsidRPr="006F0B9F">
              <w:rPr>
                <w:lang w:eastAsia="zh-CN"/>
              </w:rPr>
              <w:t>D</w:t>
            </w:r>
            <w:r w:rsidRPr="006F0B9F">
              <w:rPr>
                <w:rFonts w:hint="eastAsia"/>
                <w:lang w:eastAsia="zh-CN"/>
              </w:rPr>
              <w:t>l</w:t>
            </w:r>
            <w:proofErr w:type="spellEnd"/>
            <w:r>
              <w:rPr>
                <w:lang w:eastAsia="zh-CN"/>
              </w:rPr>
              <w:t>"</w:t>
            </w:r>
            <w:r w:rsidRPr="006F0B9F">
              <w:rPr>
                <w:rFonts w:hint="eastAsia"/>
                <w:lang w:eastAsia="zh-CN"/>
              </w:rPr>
              <w:t xml:space="preserve"> defined </w:t>
            </w:r>
            <w:r w:rsidRPr="006F0B9F">
              <w:rPr>
                <w:lang w:eastAsia="zh-CN"/>
              </w:rPr>
              <w:t xml:space="preserve">below. It is optionally split into </w:t>
            </w:r>
            <w:proofErr w:type="spellStart"/>
            <w:r w:rsidRPr="006F0B9F">
              <w:rPr>
                <w:lang w:eastAsia="zh-CN"/>
              </w:rPr>
              <w:t>subcounters</w:t>
            </w:r>
            <w:proofErr w:type="spellEnd"/>
            <w:r w:rsidRPr="006F0B9F">
              <w:rPr>
                <w:lang w:eastAsia="zh-CN"/>
              </w:rPr>
              <w:t xml:space="preserve"> for </w:t>
            </w:r>
            <w:r w:rsidRPr="006F0B9F">
              <w:t>each QoS level.</w:t>
            </w:r>
            <w:r w:rsidRPr="006F0B9F">
              <w:rPr>
                <w:rFonts w:hint="eastAsia"/>
                <w:lang w:eastAsia="zh-CN"/>
              </w:rPr>
              <w:t xml:space="preserve"> </w:t>
            </w:r>
            <w:r w:rsidRPr="006F0B9F">
              <w:rPr>
                <w:rFonts w:hint="eastAsia"/>
                <w:lang w:eastAsia="zh-CN"/>
              </w:rPr>
              <w:br/>
            </w:r>
          </w:p>
          <w:p w14:paraId="627D5678" w14:textId="3D677545" w:rsidR="00897589" w:rsidRDefault="00897589" w:rsidP="00897589">
            <w:pPr>
              <w:pStyle w:val="B2"/>
            </w:pPr>
            <w:r>
              <w:t xml:space="preserve">If </w:t>
            </w:r>
            <m:oMath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ThpTimeDl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&gt;0</m:t>
                      </m:r>
                    </m:e>
                  </m:nary>
                </m:e>
              </m:nary>
            </m:oMath>
            <w: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UEs</m:t>
                      </m:r>
                    </m:sub>
                    <m:sup/>
                    <m:e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ThpVolDl</m:t>
                          </m:r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UEs</m:t>
                      </m:r>
                    </m:sub>
                    <m:sup/>
                    <m:e>
                      <m:nary>
                        <m:naryPr>
                          <m:chr m:val="∑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ThpTimeDl</m:t>
                          </m:r>
                        </m:e>
                      </m:nary>
                    </m:e>
                  </m:nary>
                </m:den>
              </m:f>
            </m:oMath>
            <w:r>
              <w:rPr>
                <w:rFonts w:cs="Arial"/>
              </w:rPr>
              <w:t>×</w:t>
            </w:r>
            <w:r>
              <w:t>1000 [</w:t>
            </w:r>
            <w:proofErr w:type="spellStart"/>
            <w:r>
              <w:t>kbit</w:t>
            </w:r>
            <w:proofErr w:type="spellEnd"/>
            <w:r>
              <w:t>/s]</w:t>
            </w:r>
          </w:p>
          <w:p w14:paraId="7D6B2BA2" w14:textId="08F83329" w:rsidR="00897589" w:rsidRDefault="00897589" w:rsidP="00897589">
            <w:pPr>
              <w:pStyle w:val="B2"/>
            </w:pPr>
            <w:r>
              <w:t xml:space="preserve">If </w:t>
            </w:r>
            <m:oMath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UEs</m:t>
                  </m:r>
                </m:sub>
                <m:sup/>
                <m:e>
                  <m:nary>
                    <m:naryPr>
                      <m:chr m:val="∑"/>
                      <m:subHide m:val="1"/>
                      <m:supHide m:val="1"/>
                      <m:ctrlPr>
                        <w:rPr>
                          <w:rFonts w:ascii="Cambria Math" w:hAnsi="Cambria Math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ThpTimeDl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e>
                  </m:nary>
                </m:e>
              </m:nary>
            </m:oMath>
            <w:r>
              <w:t>, 0 [kbit/s]</w:t>
            </w:r>
          </w:p>
          <w:p w14:paraId="1375D13A" w14:textId="77777777" w:rsidR="00897589" w:rsidRPr="00AC22D1" w:rsidRDefault="00897589" w:rsidP="00897589">
            <w:pPr>
              <w:pStyle w:val="B2"/>
            </w:pPr>
            <w:r w:rsidRPr="00AC22D1">
              <w:t xml:space="preserve">For small data bursts, where all buffered data is included in one initial HARQ transmission,  </w:t>
            </w:r>
            <w:r w:rsidRPr="00AC22D1">
              <w:rPr>
                <w:position w:val="-10"/>
              </w:rPr>
              <w:object w:dxaOrig="1540" w:dyaOrig="320" w14:anchorId="175508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15.75pt" o:ole="">
                  <v:imagedata r:id="rId12" o:title=""/>
                </v:shape>
                <o:OLEObject Type="Embed" ProgID="Equation.3" ShapeID="_x0000_i1025" DrawAspect="Content" ObjectID="_1634671641" r:id="rId13"/>
              </w:object>
            </w:r>
            <w:r w:rsidRPr="00AC22D1">
              <w:t xml:space="preserve">, otherwise </w:t>
            </w:r>
            <w:r w:rsidRPr="00AC22D1">
              <w:rPr>
                <w:position w:val="-10"/>
              </w:rPr>
              <w:object w:dxaOrig="2540" w:dyaOrig="340" w14:anchorId="343A12FD">
                <v:shape id="_x0000_i1026" type="#_x0000_t75" style="width:126.75pt;height:17.25pt" o:ole="">
                  <v:imagedata r:id="rId14" o:title=""/>
                </v:shape>
                <o:OLEObject Type="Embed" ProgID="Equation.3" ShapeID="_x0000_i1026" DrawAspect="Content" ObjectID="_1634671642" r:id="rId15"/>
              </w:object>
            </w:r>
          </w:p>
          <w:p w14:paraId="0838D7C1" w14:textId="77777777" w:rsidR="00D50709" w:rsidRDefault="00D50709" w:rsidP="00D50709">
            <w:pPr>
              <w:pStyle w:val="wordsection1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58EBCB9" w14:textId="602D6689" w:rsidR="00D50709" w:rsidRPr="00D6051C" w:rsidRDefault="00D6051C" w:rsidP="00D6051C">
      <w:pPr>
        <w:pStyle w:val="TH"/>
        <w:rPr>
          <w:b w:val="0"/>
          <w:sz w:val="18"/>
          <w:szCs w:val="18"/>
        </w:rPr>
      </w:pPr>
      <w:r w:rsidRPr="00D6051C">
        <w:rPr>
          <w:b w:val="0"/>
          <w:sz w:val="18"/>
          <w:szCs w:val="18"/>
        </w:rPr>
        <w:t>Table</w:t>
      </w:r>
      <w:r w:rsidR="00AB6038" w:rsidRPr="00D6051C">
        <w:rPr>
          <w:b w:val="0"/>
          <w:sz w:val="18"/>
          <w:szCs w:val="18"/>
        </w:rPr>
        <w:t xml:space="preserve"> 1: Excerpt from TS28.5</w:t>
      </w:r>
      <w:r w:rsidR="00897589" w:rsidRPr="00D6051C">
        <w:rPr>
          <w:b w:val="0"/>
          <w:sz w:val="18"/>
          <w:szCs w:val="18"/>
        </w:rPr>
        <w:t>52.</w:t>
      </w:r>
    </w:p>
    <w:p w14:paraId="562B177D" w14:textId="77777777" w:rsidR="00D6051C" w:rsidRDefault="00D6051C" w:rsidP="00D6051C">
      <w:pPr>
        <w:rPr>
          <w:b/>
        </w:rPr>
      </w:pPr>
    </w:p>
    <w:p w14:paraId="0B809135" w14:textId="7D5D8A59" w:rsidR="00D6051C" w:rsidRDefault="00D6051C" w:rsidP="00D6051C">
      <w:r>
        <w:rPr>
          <w:b/>
        </w:rPr>
        <w:t>Proposal 1:</w:t>
      </w:r>
      <w:r>
        <w:t xml:space="preserve"> RAN2 to confirm the gNB measurement M5 granularity is per UE.</w:t>
      </w:r>
    </w:p>
    <w:p w14:paraId="6D10A1A2" w14:textId="2CE65B02" w:rsidR="00897589" w:rsidRDefault="00D6051C" w:rsidP="00AB6038">
      <w:pPr>
        <w:rPr>
          <w:lang w:eastAsia="ko-KR"/>
        </w:rPr>
      </w:pPr>
      <w:r>
        <w:rPr>
          <w:lang w:eastAsia="ko-KR"/>
        </w:rPr>
        <w:t xml:space="preserve">Furthermore, the running CR to </w:t>
      </w:r>
      <w:r w:rsidR="00897589">
        <w:rPr>
          <w:lang w:eastAsia="ko-KR"/>
        </w:rPr>
        <w:t xml:space="preserve">TS37.320 </w:t>
      </w:r>
      <w:r>
        <w:rPr>
          <w:lang w:eastAsia="ko-KR"/>
        </w:rPr>
        <w:t xml:space="preserve">on NR MDT </w:t>
      </w:r>
      <w:r w:rsidR="00897589">
        <w:rPr>
          <w:lang w:eastAsia="ko-KR"/>
        </w:rPr>
        <w:t xml:space="preserve">does not reflect the actual NR metrics names and references. Scheduled IP Throughput is LTE measurement name. Table </w:t>
      </w:r>
      <w:r>
        <w:rPr>
          <w:lang w:eastAsia="ko-KR"/>
        </w:rPr>
        <w:t>2</w:t>
      </w:r>
      <w:r w:rsidR="00897589">
        <w:rPr>
          <w:lang w:eastAsia="ko-KR"/>
        </w:rPr>
        <w:t xml:space="preserve"> lists the existing gNB measurements that should be considered instead, as the triggers for M5 measurement in NR:</w:t>
      </w:r>
    </w:p>
    <w:p w14:paraId="39E83C49" w14:textId="1EDE5EC6" w:rsidR="00AB6038" w:rsidRPr="00D6051C" w:rsidRDefault="00AB6038" w:rsidP="00AB6038">
      <w:pPr>
        <w:pStyle w:val="TH"/>
        <w:rPr>
          <w:b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4"/>
        <w:gridCol w:w="2342"/>
        <w:gridCol w:w="4820"/>
      </w:tblGrid>
      <w:tr w:rsidR="00AB6038" w:rsidRPr="006E13D1" w14:paraId="6136B59F" w14:textId="77777777" w:rsidTr="00196743">
        <w:trPr>
          <w:trHeight w:val="240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D996F" w14:textId="77777777" w:rsidR="00AB6038" w:rsidRPr="006E13D1" w:rsidRDefault="00AB6038" w:rsidP="00196743">
            <w:pPr>
              <w:pStyle w:val="TAH"/>
              <w:spacing w:before="20" w:after="20"/>
              <w:ind w:left="57" w:right="57"/>
            </w:pPr>
            <w:r>
              <w:t>M5 name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0ACC" w14:textId="77777777" w:rsidR="00AB6038" w:rsidRDefault="00AB6038" w:rsidP="00196743">
            <w:pPr>
              <w:pStyle w:val="TAH"/>
              <w:spacing w:before="20" w:after="20"/>
              <w:ind w:left="57" w:right="57"/>
            </w:pPr>
            <w:r>
              <w:t>TS36.314</w:t>
            </w:r>
          </w:p>
          <w:p w14:paraId="23AEF4ED" w14:textId="77777777" w:rsidR="00AB6038" w:rsidRPr="006E13D1" w:rsidRDefault="00AB6038" w:rsidP="00196743">
            <w:pPr>
              <w:pStyle w:val="TAH"/>
              <w:spacing w:before="20" w:after="20"/>
              <w:ind w:left="57" w:right="57"/>
            </w:pPr>
            <w:proofErr w:type="spellStart"/>
            <w:r>
              <w:t>eNB</w:t>
            </w:r>
            <w:proofErr w:type="spellEnd"/>
            <w:r>
              <w:t xml:space="preserve"> measurements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E026" w14:textId="77777777" w:rsidR="00AB6038" w:rsidRDefault="00AB6038" w:rsidP="00196743">
            <w:pPr>
              <w:pStyle w:val="TAH"/>
              <w:spacing w:before="20" w:after="20"/>
              <w:ind w:left="57" w:right="57"/>
            </w:pPr>
            <w:r>
              <w:t>TS28.552</w:t>
            </w:r>
          </w:p>
          <w:p w14:paraId="5F01C02F" w14:textId="77777777" w:rsidR="00AB6038" w:rsidRDefault="00AB6038" w:rsidP="00196743">
            <w:pPr>
              <w:pStyle w:val="TAH"/>
              <w:spacing w:before="20" w:after="20"/>
              <w:ind w:left="57" w:right="57"/>
            </w:pPr>
            <w:r>
              <w:t>gNB measurements</w:t>
            </w:r>
          </w:p>
        </w:tc>
      </w:tr>
      <w:tr w:rsidR="00AB6038" w:rsidRPr="006E13D1" w14:paraId="5F881613" w14:textId="77777777" w:rsidTr="00196743">
        <w:trPr>
          <w:trHeight w:val="1980"/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AE279D8" w14:textId="77777777" w:rsidR="00AB6038" w:rsidRPr="006E13D1" w:rsidRDefault="00AB6038" w:rsidP="00196743">
            <w:pPr>
              <w:pStyle w:val="TAC"/>
              <w:spacing w:before="20" w:after="20"/>
              <w:ind w:left="57" w:right="57"/>
            </w:pPr>
            <w:r>
              <w:t>Scheduled IP Throughput for MDT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</w:tcBorders>
            <w:vAlign w:val="center"/>
          </w:tcPr>
          <w:p w14:paraId="2D690838" w14:textId="77777777" w:rsidR="00AB6038" w:rsidRPr="006E13D1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>
              <w:t>Scheduled IP Throughput for MDT (4.1.7.1, 4.1.7.2)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D2163" w14:textId="77777777" w:rsidR="00AB6038" w:rsidRPr="00A056B9" w:rsidRDefault="00AB6038" w:rsidP="00196743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A056B9">
              <w:rPr>
                <w:b/>
              </w:rPr>
              <w:t>For all gNB deployments:</w:t>
            </w:r>
          </w:p>
          <w:p w14:paraId="42A6B306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>
              <w:t>Average DL/UL UE throughput in gNB</w:t>
            </w:r>
          </w:p>
          <w:p w14:paraId="102EC1C7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 w:rsidRPr="00E15DFC">
              <w:t xml:space="preserve">The measurement is optionally split into </w:t>
            </w:r>
            <w:proofErr w:type="spellStart"/>
            <w:r w:rsidRPr="00E15DFC">
              <w:t>subcounters</w:t>
            </w:r>
            <w:proofErr w:type="spellEnd"/>
            <w:r w:rsidRPr="00E15DFC">
              <w:t xml:space="preserve"> per QoS level (</w:t>
            </w:r>
            <w:r>
              <w:t xml:space="preserve">mapped </w:t>
            </w:r>
            <w:r w:rsidRPr="00E15DFC">
              <w:t>5QI or QCI in NR option 3).</w:t>
            </w:r>
            <w:r>
              <w:t xml:space="preserve"> </w:t>
            </w:r>
          </w:p>
          <w:p w14:paraId="6CCCA58A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>
              <w:t>(5.1.1.3.1, 5.1.1.3.3)</w:t>
            </w:r>
          </w:p>
          <w:p w14:paraId="01F78C75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</w:p>
          <w:p w14:paraId="10D41895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>
              <w:t>Distribution of DL/UL UE throughput in gNB (Option 3 applicability: N/A)</w:t>
            </w:r>
          </w:p>
          <w:p w14:paraId="33BFC8D3" w14:textId="77777777" w:rsidR="00AB6038" w:rsidRPr="006E13D1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>
              <w:t>(5.1.1.3.2, 5.1.1.3.4)</w:t>
            </w:r>
          </w:p>
        </w:tc>
      </w:tr>
      <w:tr w:rsidR="00AB6038" w:rsidRPr="006E13D1" w14:paraId="0DCEB608" w14:textId="77777777" w:rsidTr="00196743">
        <w:trPr>
          <w:trHeight w:val="462"/>
          <w:jc w:val="center"/>
        </w:trPr>
        <w:tc>
          <w:tcPr>
            <w:tcW w:w="1764" w:type="dxa"/>
            <w:vMerge/>
            <w:tcBorders>
              <w:top w:val="single" w:sz="4" w:space="0" w:color="auto"/>
            </w:tcBorders>
            <w:noWrap/>
            <w:vAlign w:val="center"/>
          </w:tcPr>
          <w:p w14:paraId="02C3C56D" w14:textId="77777777" w:rsidR="00AB6038" w:rsidRDefault="00AB6038" w:rsidP="00196743">
            <w:pPr>
              <w:pStyle w:val="TAC"/>
              <w:spacing w:before="20" w:after="20"/>
              <w:ind w:left="57" w:right="57"/>
            </w:pPr>
          </w:p>
        </w:tc>
        <w:tc>
          <w:tcPr>
            <w:tcW w:w="2342" w:type="dxa"/>
            <w:vMerge/>
            <w:tcBorders>
              <w:top w:val="single" w:sz="4" w:space="0" w:color="auto"/>
            </w:tcBorders>
            <w:vAlign w:val="center"/>
          </w:tcPr>
          <w:p w14:paraId="2B799701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14:paraId="72A2C1E0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A056B9">
              <w:rPr>
                <w:b/>
              </w:rPr>
              <w:t xml:space="preserve">For </w:t>
            </w:r>
            <w:r>
              <w:rPr>
                <w:b/>
              </w:rPr>
              <w:t xml:space="preserve">non-split </w:t>
            </w:r>
            <w:r w:rsidRPr="00A056B9">
              <w:rPr>
                <w:b/>
              </w:rPr>
              <w:t>gNB deployments:</w:t>
            </w:r>
          </w:p>
          <w:p w14:paraId="68F4AE47" w14:textId="77777777" w:rsidR="00AB6038" w:rsidRPr="00D15B53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 w:rsidRPr="00D15B53">
              <w:t>N/A</w:t>
            </w:r>
          </w:p>
        </w:tc>
      </w:tr>
      <w:tr w:rsidR="00AB6038" w:rsidRPr="006E13D1" w14:paraId="59B60FC3" w14:textId="77777777" w:rsidTr="00196743">
        <w:trPr>
          <w:trHeight w:val="65"/>
          <w:jc w:val="center"/>
        </w:trPr>
        <w:tc>
          <w:tcPr>
            <w:tcW w:w="1764" w:type="dxa"/>
            <w:vMerge/>
            <w:noWrap/>
            <w:vAlign w:val="center"/>
          </w:tcPr>
          <w:p w14:paraId="4E2A1B62" w14:textId="77777777" w:rsidR="00AB6038" w:rsidRDefault="00AB6038" w:rsidP="00196743">
            <w:pPr>
              <w:pStyle w:val="TAC"/>
              <w:spacing w:before="20" w:after="20"/>
              <w:ind w:left="57" w:right="57"/>
            </w:pPr>
          </w:p>
        </w:tc>
        <w:tc>
          <w:tcPr>
            <w:tcW w:w="2342" w:type="dxa"/>
            <w:vMerge/>
            <w:vAlign w:val="center"/>
          </w:tcPr>
          <w:p w14:paraId="40696D92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4820" w:type="dxa"/>
            <w:tcBorders>
              <w:top w:val="nil"/>
            </w:tcBorders>
            <w:vAlign w:val="center"/>
          </w:tcPr>
          <w:p w14:paraId="279D5441" w14:textId="77777777" w:rsidR="00AB6038" w:rsidRPr="00A056B9" w:rsidRDefault="00AB6038" w:rsidP="00196743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</w:p>
        </w:tc>
      </w:tr>
      <w:tr w:rsidR="00AB6038" w:rsidRPr="006E13D1" w14:paraId="25A3C9FE" w14:textId="77777777" w:rsidTr="00196743">
        <w:trPr>
          <w:trHeight w:val="490"/>
          <w:jc w:val="center"/>
        </w:trPr>
        <w:tc>
          <w:tcPr>
            <w:tcW w:w="1764" w:type="dxa"/>
            <w:vMerge/>
            <w:noWrap/>
            <w:vAlign w:val="center"/>
          </w:tcPr>
          <w:p w14:paraId="388796FD" w14:textId="77777777" w:rsidR="00AB6038" w:rsidRDefault="00AB6038" w:rsidP="00196743">
            <w:pPr>
              <w:pStyle w:val="TAC"/>
              <w:spacing w:before="20" w:after="20"/>
              <w:ind w:left="57" w:right="57"/>
            </w:pPr>
          </w:p>
        </w:tc>
        <w:tc>
          <w:tcPr>
            <w:tcW w:w="2342" w:type="dxa"/>
            <w:vMerge/>
            <w:vAlign w:val="center"/>
          </w:tcPr>
          <w:p w14:paraId="44B83802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6A49853B" w14:textId="77777777" w:rsidR="00AB6038" w:rsidRDefault="00AB6038" w:rsidP="00196743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>
              <w:rPr>
                <w:b/>
              </w:rPr>
              <w:t>For split gNB deployments:</w:t>
            </w:r>
          </w:p>
          <w:p w14:paraId="218926D7" w14:textId="77777777" w:rsidR="00AB6038" w:rsidRPr="00D15B53" w:rsidRDefault="00AB6038" w:rsidP="00196743">
            <w:pPr>
              <w:pStyle w:val="TAC"/>
              <w:spacing w:before="20" w:after="20"/>
              <w:ind w:left="57" w:right="57"/>
              <w:jc w:val="left"/>
            </w:pPr>
            <w:r w:rsidRPr="00D15B53">
              <w:t>N/A</w:t>
            </w:r>
          </w:p>
        </w:tc>
      </w:tr>
    </w:tbl>
    <w:p w14:paraId="3C9ECB77" w14:textId="50F711A8" w:rsidR="00D50709" w:rsidRPr="00D6051C" w:rsidRDefault="00D6051C" w:rsidP="00D6051C">
      <w:pPr>
        <w:pStyle w:val="TH"/>
        <w:rPr>
          <w:b w:val="0"/>
          <w:sz w:val="18"/>
          <w:szCs w:val="18"/>
        </w:rPr>
      </w:pPr>
      <w:r w:rsidRPr="00D6051C">
        <w:rPr>
          <w:b w:val="0"/>
          <w:sz w:val="18"/>
          <w:szCs w:val="18"/>
        </w:rPr>
        <w:t>Table 2: Standardized measurements definitions</w:t>
      </w:r>
    </w:p>
    <w:p w14:paraId="316D2ABB" w14:textId="77777777" w:rsidR="00D6051C" w:rsidRPr="00AB6038" w:rsidRDefault="00D6051C" w:rsidP="00D50709">
      <w:pPr>
        <w:pStyle w:val="wordsection1"/>
        <w:rPr>
          <w:rFonts w:ascii="Calibri" w:hAnsi="Calibri"/>
          <w:sz w:val="22"/>
          <w:szCs w:val="22"/>
        </w:rPr>
      </w:pPr>
    </w:p>
    <w:p w14:paraId="2FEAE365" w14:textId="69B03AEA" w:rsidR="00D50709" w:rsidRDefault="00D50709" w:rsidP="00D50709">
      <w:r>
        <w:rPr>
          <w:b/>
        </w:rPr>
        <w:t xml:space="preserve">Proposal </w:t>
      </w:r>
      <w:r w:rsidR="00D6051C">
        <w:rPr>
          <w:b/>
        </w:rPr>
        <w:t>2</w:t>
      </w:r>
      <w:r>
        <w:rPr>
          <w:b/>
        </w:rPr>
        <w:t>:</w:t>
      </w:r>
      <w:r>
        <w:t xml:space="preserve"> Adopt configuration trigger for the gNB measurement M5: Scheduled IP Throughput in TS37.320 to reflect</w:t>
      </w:r>
      <w:r w:rsidR="00BE4C71">
        <w:t xml:space="preserve"> one of the</w:t>
      </w:r>
      <w:r>
        <w:t xml:space="preserve"> standardized gNB measuremen</w:t>
      </w:r>
      <w:r w:rsidR="00897589">
        <w:t>t</w:t>
      </w:r>
      <w:r>
        <w:t>s</w:t>
      </w:r>
      <w:r w:rsidR="00897589">
        <w:t xml:space="preserve"> </w:t>
      </w:r>
      <w:r w:rsidR="00BE4C71">
        <w:t xml:space="preserve">for UE throughput </w:t>
      </w:r>
      <w:r w:rsidR="00897589">
        <w:t>in TS28.552.</w:t>
      </w:r>
    </w:p>
    <w:p w14:paraId="09A42884" w14:textId="732C3C19" w:rsidR="00897589" w:rsidRDefault="00897589" w:rsidP="00D50709"/>
    <w:p w14:paraId="030A80E0" w14:textId="77777777" w:rsidR="00D6051C" w:rsidRDefault="00D6051C" w:rsidP="00D50709"/>
    <w:p w14:paraId="557DD175" w14:textId="7EF1D773" w:rsidR="00897589" w:rsidRDefault="00897589" w:rsidP="00897589">
      <w:pPr>
        <w:autoSpaceDE w:val="0"/>
        <w:autoSpaceDN w:val="0"/>
        <w:adjustRightInd w:val="0"/>
        <w:jc w:val="both"/>
      </w:pPr>
      <w:r>
        <w:lastRenderedPageBreak/>
        <w:t>Additionally, the RAN2 agreement to support MDT in EN-DC brings impacts to MDT configurations</w:t>
      </w:r>
      <w:r w:rsidR="00D6051C">
        <w:t xml:space="preserve"> in Trace Activation procedures</w:t>
      </w:r>
      <w:r>
        <w:t xml:space="preserve">. </w:t>
      </w:r>
      <w:r w:rsidRPr="00AB6038">
        <w:t xml:space="preserve">RAN </w:t>
      </w:r>
      <w:r w:rsidR="00D6051C">
        <w:t xml:space="preserve">node </w:t>
      </w:r>
      <w:r w:rsidRPr="00AB6038">
        <w:t xml:space="preserve">receiving Trace Configuration for EN-DC, will serve the MDT UE, who is connected to </w:t>
      </w:r>
      <w:r>
        <w:t>the</w:t>
      </w:r>
      <w:r w:rsidRPr="00AB6038">
        <w:t xml:space="preserve"> </w:t>
      </w:r>
      <w:proofErr w:type="spellStart"/>
      <w:r w:rsidRPr="00AB6038">
        <w:t>eNB</w:t>
      </w:r>
      <w:proofErr w:type="spellEnd"/>
      <w:r w:rsidRPr="00AB6038">
        <w:t xml:space="preserve"> that acts as a MN and one gNB that acts as a SN. The </w:t>
      </w:r>
      <w:proofErr w:type="spellStart"/>
      <w:r w:rsidRPr="00AB6038">
        <w:t>eNB</w:t>
      </w:r>
      <w:proofErr w:type="spellEnd"/>
      <w:r w:rsidRPr="00AB6038">
        <w:t xml:space="preserve"> connected to the EPC via the S1 interface and to the </w:t>
      </w:r>
      <w:proofErr w:type="spellStart"/>
      <w:r w:rsidRPr="00AB6038">
        <w:t>en</w:t>
      </w:r>
      <w:proofErr w:type="spellEnd"/>
      <w:r w:rsidRPr="00AB6038">
        <w:t>-gNB via the X2 interface</w:t>
      </w:r>
      <w:r>
        <w:t>, cannot disregard the data transmission from the Sn, when calculating the Throughput.</w:t>
      </w:r>
    </w:p>
    <w:p w14:paraId="3FC1AC8F" w14:textId="3A372980" w:rsidR="00D50709" w:rsidRDefault="00D50709" w:rsidP="00D50709">
      <w:r>
        <w:rPr>
          <w:b/>
        </w:rPr>
        <w:t xml:space="preserve">Proposal </w:t>
      </w:r>
      <w:r w:rsidR="00D6051C">
        <w:rPr>
          <w:b/>
        </w:rPr>
        <w:t>3</w:t>
      </w:r>
      <w:r>
        <w:rPr>
          <w:b/>
        </w:rPr>
        <w:t>:</w:t>
      </w:r>
      <w:r>
        <w:t xml:space="preserve"> </w:t>
      </w:r>
      <w:r w:rsidR="00582689">
        <w:t xml:space="preserve">RAN2 to discuss which Immediate MDT </w:t>
      </w:r>
      <w:r>
        <w:t xml:space="preserve">configuration triggers for the </w:t>
      </w:r>
      <w:r w:rsidR="00D6051C">
        <w:t>g</w:t>
      </w:r>
      <w:r>
        <w:t xml:space="preserve">NB measurement </w:t>
      </w:r>
      <w:r w:rsidR="00582689">
        <w:t>need to</w:t>
      </w:r>
      <w:r>
        <w:t xml:space="preserve"> reflect applicability to EN-DC deployments.</w:t>
      </w:r>
    </w:p>
    <w:p w14:paraId="766D6D29" w14:textId="4385FE00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897589">
        <w:t xml:space="preserve">Conclusion </w:t>
      </w:r>
    </w:p>
    <w:p w14:paraId="505B68CC" w14:textId="77777777" w:rsidR="00D6051C" w:rsidRDefault="00D6051C" w:rsidP="00897589">
      <w:r>
        <w:rPr>
          <w:b/>
        </w:rPr>
        <w:t>Proposal 1:</w:t>
      </w:r>
      <w:r>
        <w:t xml:space="preserve"> RAN2 to confirm the gNB measurement M5 granularity is per UE.</w:t>
      </w:r>
    </w:p>
    <w:p w14:paraId="2E79FC31" w14:textId="18CCBA58" w:rsidR="00BE4C71" w:rsidRDefault="00897589" w:rsidP="00BE4C71">
      <w:r>
        <w:rPr>
          <w:b/>
        </w:rPr>
        <w:t xml:space="preserve">Proposal </w:t>
      </w:r>
      <w:r w:rsidR="00D6051C">
        <w:rPr>
          <w:b/>
        </w:rPr>
        <w:t>2</w:t>
      </w:r>
      <w:r>
        <w:rPr>
          <w:b/>
        </w:rPr>
        <w:t>:</w:t>
      </w:r>
      <w:r>
        <w:t xml:space="preserve"> </w:t>
      </w:r>
      <w:r w:rsidR="00BE4C71">
        <w:t xml:space="preserve"> Adopt configuration trigger for the gNB measurement M5: Scheduled IP Throughput in TS37.320 to reflect one of the standardized gNB measurements for UE throughput in TS28.552.</w:t>
      </w:r>
    </w:p>
    <w:p w14:paraId="28ACC55D" w14:textId="77777777" w:rsidR="00582689" w:rsidRDefault="00582689" w:rsidP="00582689">
      <w:r>
        <w:rPr>
          <w:b/>
        </w:rPr>
        <w:t>Proposal 3:</w:t>
      </w:r>
      <w:r>
        <w:t xml:space="preserve"> RAN2 to discuss which Immediate MDT configuration triggers for the gNB measurement need to reflect applicability to EN-DC deployments.</w:t>
      </w:r>
    </w:p>
    <w:p w14:paraId="066E28AF" w14:textId="77777777" w:rsidR="00897589" w:rsidRPr="00897589" w:rsidRDefault="00897589" w:rsidP="00897589"/>
    <w:sectPr w:rsidR="00897589" w:rsidRPr="0089758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4C88D" w14:textId="77777777" w:rsidR="00450191" w:rsidRDefault="00450191">
      <w:r>
        <w:separator/>
      </w:r>
    </w:p>
  </w:endnote>
  <w:endnote w:type="continuationSeparator" w:id="0">
    <w:p w14:paraId="77789BF3" w14:textId="77777777" w:rsidR="00450191" w:rsidRDefault="00450191">
      <w:r>
        <w:continuationSeparator/>
      </w:r>
    </w:p>
  </w:endnote>
  <w:endnote w:type="continuationNotice" w:id="1">
    <w:p w14:paraId="4D4328C6" w14:textId="77777777" w:rsidR="00450191" w:rsidRDefault="004501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A43D" w14:textId="77777777" w:rsidR="00450191" w:rsidRDefault="00450191">
      <w:r>
        <w:separator/>
      </w:r>
    </w:p>
  </w:footnote>
  <w:footnote w:type="continuationSeparator" w:id="0">
    <w:p w14:paraId="7A07AD23" w14:textId="77777777" w:rsidR="00450191" w:rsidRDefault="00450191">
      <w:r>
        <w:continuationSeparator/>
      </w:r>
    </w:p>
  </w:footnote>
  <w:footnote w:type="continuationNotice" w:id="1">
    <w:p w14:paraId="34D857B4" w14:textId="77777777" w:rsidR="00450191" w:rsidRDefault="004501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A855F11"/>
    <w:multiLevelType w:val="hybridMultilevel"/>
    <w:tmpl w:val="0A7E009E"/>
    <w:lvl w:ilvl="0" w:tplc="A240F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1F"/>
    <w:rsid w:val="00016557"/>
    <w:rsid w:val="00023C40"/>
    <w:rsid w:val="00033397"/>
    <w:rsid w:val="00040095"/>
    <w:rsid w:val="000704E3"/>
    <w:rsid w:val="00073C9C"/>
    <w:rsid w:val="00080512"/>
    <w:rsid w:val="00080EDD"/>
    <w:rsid w:val="00090468"/>
    <w:rsid w:val="00094568"/>
    <w:rsid w:val="00096B13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E1812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11E64"/>
    <w:rsid w:val="00450191"/>
    <w:rsid w:val="0045537E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82689"/>
    <w:rsid w:val="005A4062"/>
    <w:rsid w:val="005C5352"/>
    <w:rsid w:val="00611566"/>
    <w:rsid w:val="00613FE1"/>
    <w:rsid w:val="00614FD1"/>
    <w:rsid w:val="00646D99"/>
    <w:rsid w:val="00656910"/>
    <w:rsid w:val="006574C0"/>
    <w:rsid w:val="006A2C99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B77E4"/>
    <w:rsid w:val="007C095F"/>
    <w:rsid w:val="007C2DD0"/>
    <w:rsid w:val="007F2E08"/>
    <w:rsid w:val="008028A4"/>
    <w:rsid w:val="00813245"/>
    <w:rsid w:val="00840DE0"/>
    <w:rsid w:val="0086354A"/>
    <w:rsid w:val="00865A19"/>
    <w:rsid w:val="008768CA"/>
    <w:rsid w:val="00877EF9"/>
    <w:rsid w:val="00880559"/>
    <w:rsid w:val="00897589"/>
    <w:rsid w:val="008B5306"/>
    <w:rsid w:val="008C2E2A"/>
    <w:rsid w:val="008C3057"/>
    <w:rsid w:val="008D2E4D"/>
    <w:rsid w:val="008E0984"/>
    <w:rsid w:val="008F396F"/>
    <w:rsid w:val="0090271F"/>
    <w:rsid w:val="00902DB9"/>
    <w:rsid w:val="0090466A"/>
    <w:rsid w:val="00923655"/>
    <w:rsid w:val="00936071"/>
    <w:rsid w:val="00940212"/>
    <w:rsid w:val="00942EC2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056B9"/>
    <w:rsid w:val="00A10F02"/>
    <w:rsid w:val="00A204CA"/>
    <w:rsid w:val="00A209D6"/>
    <w:rsid w:val="00A53724"/>
    <w:rsid w:val="00A54B2B"/>
    <w:rsid w:val="00A82346"/>
    <w:rsid w:val="00A9671C"/>
    <w:rsid w:val="00AA1553"/>
    <w:rsid w:val="00AB6038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BE4C71"/>
    <w:rsid w:val="00C12B51"/>
    <w:rsid w:val="00C24650"/>
    <w:rsid w:val="00C24760"/>
    <w:rsid w:val="00C25465"/>
    <w:rsid w:val="00C33079"/>
    <w:rsid w:val="00C60309"/>
    <w:rsid w:val="00C83A13"/>
    <w:rsid w:val="00C9068C"/>
    <w:rsid w:val="00C92967"/>
    <w:rsid w:val="00CA3D0C"/>
    <w:rsid w:val="00CA654B"/>
    <w:rsid w:val="00CB72B8"/>
    <w:rsid w:val="00CD4C7B"/>
    <w:rsid w:val="00CD58FE"/>
    <w:rsid w:val="00D03D35"/>
    <w:rsid w:val="00D113D6"/>
    <w:rsid w:val="00D15B53"/>
    <w:rsid w:val="00D33BE3"/>
    <w:rsid w:val="00D3792D"/>
    <w:rsid w:val="00D50709"/>
    <w:rsid w:val="00D55E47"/>
    <w:rsid w:val="00D6051C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A66C9"/>
    <w:rsid w:val="00EC4A25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D1AA4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613FE1"/>
    <w:rPr>
      <w:rFonts w:ascii="Arial" w:hAnsi="Arial"/>
      <w:sz w:val="24"/>
      <w:lang w:eastAsia="en-US"/>
    </w:rPr>
  </w:style>
  <w:style w:type="paragraph" w:customStyle="1" w:styleId="00BodyText">
    <w:name w:val="00 BodyText"/>
    <w:basedOn w:val="Normal"/>
    <w:rsid w:val="00411E64"/>
    <w:pPr>
      <w:spacing w:after="220"/>
    </w:pPr>
    <w:rPr>
      <w:rFonts w:ascii="Arial" w:hAnsi="Arial"/>
      <w:sz w:val="22"/>
      <w:lang w:val="en-US"/>
    </w:rPr>
  </w:style>
  <w:style w:type="paragraph" w:customStyle="1" w:styleId="wordsection1">
    <w:name w:val="wordsection1"/>
    <w:basedOn w:val="Normal"/>
    <w:uiPriority w:val="99"/>
    <w:rsid w:val="00D50709"/>
    <w:pPr>
      <w:spacing w:after="0"/>
    </w:pPr>
    <w:rPr>
      <w:rFonts w:eastAsia="Calibri"/>
      <w:sz w:val="24"/>
      <w:szCs w:val="24"/>
      <w:lang w:eastAsia="ko-KR"/>
    </w:rPr>
  </w:style>
  <w:style w:type="table" w:styleId="TableGrid">
    <w:name w:val="Table Grid"/>
    <w:basedOn w:val="TableNormal"/>
    <w:rsid w:val="00D50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D507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5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5AIRPNAIUNRU-1083777305-689</_dlc_DocId>
    <_dlc_DocIdUrl xmlns="71c5aaf6-e6ce-465b-b873-5148d2a4c105">
      <Url>https://nokia.sharepoint.com/sites/c5g/projects/flexiaccess/_layouts/15/DocIdRedir.aspx?ID=5AIRPNAIUNRU-1083777305-689</Url>
      <Description>5AIRPNAIUNRU-1083777305-689</Description>
    </_dlc_DocIdUrl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221206f-e176-4a34-be1c-be3ecc5bbb01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FEEDA92-E18D-4101-8673-9F046309C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2</cp:revision>
  <dcterms:created xsi:type="dcterms:W3CDTF">2019-11-07T21:29:00Z</dcterms:created>
  <dcterms:modified xsi:type="dcterms:W3CDTF">2019-11-07T21:29:00Z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e676d893-86f8-4830-8cab-9147c07a7fa3</vt:lpwstr>
  </property>
</Properties>
</file>